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7145"/>
        <w:rPr>
          <w:rFonts w:ascii="Times New Roman"/>
          <w:sz w:val="20"/>
        </w:rPr>
      </w:pPr>
      <w:r>
        <w:rPr>
          <w:rFonts w:ascii="Times New Roman"/>
          <w:sz w:val="20"/>
        </w:rPr>
        <w:drawing>
          <wp:inline distT="0" distB="0" distL="0" distR="0">
            <wp:extent cx="2076450" cy="4953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2076450" cy="495300"/>
                    </a:xfrm>
                    <a:prstGeom prst="rect">
                      <a:avLst/>
                    </a:prstGeom>
                  </pic:spPr>
                </pic:pic>
              </a:graphicData>
            </a:graphic>
          </wp:inline>
        </w:drawing>
      </w:r>
      <w:r>
        <w:rPr>
          <w:rFonts w:ascii="Times New Roman"/>
          <w:sz w:val="20"/>
        </w:rPr>
      </w:r>
    </w:p>
    <w:p>
      <w:pPr>
        <w:spacing w:before="30"/>
        <w:ind w:left="0" w:right="142" w:firstLine="0"/>
        <w:jc w:val="right"/>
        <w:rPr>
          <w:b/>
          <w:sz w:val="24"/>
        </w:rPr>
      </w:pPr>
      <w:r>
        <w:rPr>
          <w:b/>
          <w:sz w:val="24"/>
        </w:rPr>
        <w:t>Product</w:t>
      </w:r>
      <w:r>
        <w:rPr>
          <w:b/>
          <w:spacing w:val="1"/>
          <w:sz w:val="24"/>
        </w:rPr>
        <w:t> </w:t>
      </w:r>
      <w:r>
        <w:rPr>
          <w:b/>
          <w:sz w:val="24"/>
        </w:rPr>
        <w:t>Data</w:t>
      </w:r>
    </w:p>
    <w:p>
      <w:pPr>
        <w:pStyle w:val="Title"/>
      </w:pPr>
      <w:r>
        <w:rPr/>
        <w:t>High Temperature</w:t>
      </w:r>
      <w:r>
        <w:rPr>
          <w:spacing w:val="-34"/>
        </w:rPr>
        <w:t> </w:t>
      </w:r>
      <w:r>
        <w:rPr>
          <w:spacing w:val="-2"/>
        </w:rPr>
        <w:t>Grease</w:t>
      </w:r>
    </w:p>
    <w:p>
      <w:pPr>
        <w:spacing w:before="164"/>
        <w:ind w:left="0" w:right="142" w:firstLine="0"/>
        <w:jc w:val="right"/>
        <w:rPr>
          <w:sz w:val="20"/>
        </w:rPr>
      </w:pPr>
      <w:r>
        <w:rPr>
          <w:spacing w:val="-4"/>
          <w:sz w:val="20"/>
        </w:rPr>
        <w:t>Multipurpose </w:t>
      </w:r>
      <w:r>
        <w:rPr>
          <w:spacing w:val="-3"/>
          <w:sz w:val="20"/>
        </w:rPr>
        <w:t>high </w:t>
      </w:r>
      <w:r>
        <w:rPr>
          <w:spacing w:val="-4"/>
          <w:sz w:val="20"/>
        </w:rPr>
        <w:t>temperature</w:t>
      </w:r>
      <w:r>
        <w:rPr>
          <w:spacing w:val="-6"/>
          <w:sz w:val="20"/>
        </w:rPr>
        <w:t> </w:t>
      </w:r>
      <w:r>
        <w:rPr>
          <w:spacing w:val="-4"/>
          <w:sz w:val="20"/>
        </w:rPr>
        <w:t>grease</w:t>
      </w:r>
    </w:p>
    <w:p>
      <w:pPr>
        <w:pStyle w:val="BodyText"/>
        <w:spacing w:before="8"/>
        <w:rPr>
          <w:sz w:val="24"/>
        </w:rPr>
      </w:pPr>
    </w:p>
    <w:p>
      <w:pPr>
        <w:pStyle w:val="Heading1"/>
      </w:pPr>
      <w:r>
        <w:rPr/>
        <w:t>Description</w:t>
      </w:r>
    </w:p>
    <w:p>
      <w:pPr>
        <w:pStyle w:val="BodyText"/>
        <w:spacing w:line="261" w:lineRule="auto" w:before="16"/>
        <w:ind w:left="425" w:right="524"/>
      </w:pPr>
      <w:r>
        <w:rPr/>
        <w:t>Castrol High Temperature Grease is a high performance, multipurpose lithium complex grease developed using an optimized combination of high quality mineral oil, proprietary thickener technology and a specially selected additive system enabling reliable performance across a wide range of temperatures whilst exposed to a variety of operational loads, speeds and environmental conditions.</w:t>
      </w:r>
    </w:p>
    <w:p>
      <w:pPr>
        <w:pStyle w:val="BodyText"/>
        <w:spacing w:before="3"/>
        <w:rPr>
          <w:sz w:val="23"/>
        </w:rPr>
      </w:pPr>
    </w:p>
    <w:p>
      <w:pPr>
        <w:pStyle w:val="Heading1"/>
      </w:pPr>
      <w:r>
        <w:rPr/>
        <w:t>Application</w:t>
      </w:r>
    </w:p>
    <w:p>
      <w:pPr>
        <w:pStyle w:val="BodyText"/>
        <w:spacing w:line="261" w:lineRule="auto" w:before="16"/>
        <w:ind w:left="425"/>
      </w:pPr>
      <w:r>
        <w:rPr/>
        <w:t>Castrol High Temperature Grease is intended for use in a wide range of plain and rolling element bearings within the Automotive, Industrial, Marine and Energy Industries, especially targeting those applications where upper operating temperatures are likely to exceed the limits of conventional, lithium thickened greases.</w:t>
      </w:r>
    </w:p>
    <w:p>
      <w:pPr>
        <w:pStyle w:val="BodyText"/>
        <w:spacing w:before="5"/>
        <w:rPr>
          <w:sz w:val="19"/>
        </w:rPr>
      </w:pPr>
    </w:p>
    <w:p>
      <w:pPr>
        <w:pStyle w:val="BodyText"/>
        <w:spacing w:line="261" w:lineRule="auto"/>
        <w:ind w:left="425" w:right="524"/>
      </w:pPr>
      <w:r>
        <w:rPr/>
        <w:t>The excellent thermal and mechanical stability of Castrol High Temperature Grease make it particularly suitable for </w:t>
      </w:r>
      <w:r>
        <w:rPr>
          <w:spacing w:val="2"/>
        </w:rPr>
        <w:t>use   </w:t>
      </w:r>
      <w:r>
        <w:rPr/>
        <w:t>in bearing applications of higher than normal</w:t>
      </w:r>
      <w:r>
        <w:rPr>
          <w:spacing w:val="45"/>
        </w:rPr>
        <w:t> </w:t>
      </w:r>
      <w:r>
        <w:rPr/>
        <w:t>temperatures.</w:t>
      </w:r>
    </w:p>
    <w:p>
      <w:pPr>
        <w:pStyle w:val="BodyText"/>
        <w:spacing w:before="5"/>
        <w:rPr>
          <w:sz w:val="19"/>
        </w:rPr>
      </w:pPr>
    </w:p>
    <w:p>
      <w:pPr>
        <w:pStyle w:val="BodyText"/>
        <w:spacing w:line="261" w:lineRule="auto"/>
        <w:ind w:left="425" w:right="524"/>
      </w:pPr>
      <w:r>
        <w:rPr/>
        <w:t>Castrol High Temperature Grease also offers good resistance to water and corrosion as well as very good load carrying performance making it suitable for general lubrication of bearings, slides &amp; bushes on off-road construction, on shore drilling sites and offshore installations where greater extremes of pressure may be prevalent.</w:t>
      </w:r>
    </w:p>
    <w:p>
      <w:pPr>
        <w:pStyle w:val="BodyText"/>
        <w:spacing w:before="4"/>
        <w:rPr>
          <w:sz w:val="23"/>
        </w:rPr>
      </w:pPr>
    </w:p>
    <w:p>
      <w:pPr>
        <w:pStyle w:val="Heading1"/>
      </w:pPr>
      <w:r>
        <w:rPr/>
        <w:t>Features and Benefits</w:t>
      </w:r>
    </w:p>
    <w:p>
      <w:pPr>
        <w:pStyle w:val="BodyText"/>
        <w:spacing w:line="261" w:lineRule="auto" w:before="46"/>
        <w:ind w:left="1025" w:right="524"/>
      </w:pPr>
      <w:r>
        <w:rPr/>
        <w:pict>
          <v:group style="position:absolute;margin-left:74.625pt;margin-top:5.866895pt;width:3.75pt;height:3.75pt;mso-position-horizontal-relative:page;mso-position-vertical-relative:paragraph;z-index:251658240" coordorigin="1493,117" coordsize="75,75">
            <v:shape style="position:absolute;left:1500;top:124;width:60;height:60" coordorigin="1500,125" coordsize="60,60" path="m1530,125l1518,127,1509,134,1502,143,1500,155,1502,167,1509,176,1518,182,1530,185,1542,182,1551,176,1558,167,1560,155,1558,143,1551,134,1542,127,1530,125xe" filled="true" fillcolor="#000000" stroked="false">
              <v:path arrowok="t"/>
              <v:fill type="solid"/>
            </v:shape>
            <v:shape style="position:absolute;left:1500;top:124;width:60;height:60" coordorigin="1500,125" coordsize="60,60" path="m1560,155l1558,167,1551,176,1542,182,1530,185,1518,182,1509,176,1502,167,1500,155,1502,143,1509,134,1518,127,1530,125,1542,127,1551,134,1558,143,1560,155e" filled="false" stroked="true" strokeweight=".75pt" strokecolor="#000000">
              <v:path arrowok="t"/>
              <v:stroke dashstyle="solid"/>
            </v:shape>
            <w10:wrap type="none"/>
          </v:group>
        </w:pict>
      </w:r>
      <w:r>
        <w:rPr/>
        <w:t>Excellent thermal and mechanical stabliity ensure prolonged product integrity across a wider operating temperature range, thus enabling extended relubrication intervals and reduced maintenance.</w:t>
      </w:r>
    </w:p>
    <w:p>
      <w:pPr>
        <w:pStyle w:val="BodyText"/>
        <w:spacing w:line="261" w:lineRule="auto"/>
        <w:ind w:left="1025" w:right="960"/>
      </w:pPr>
      <w:r>
        <w:rPr/>
        <w:pict>
          <v:group style="position:absolute;margin-left:74.625pt;margin-top:3.566895pt;width:3.75pt;height:3.75pt;mso-position-horizontal-relative:page;mso-position-vertical-relative:paragraph;z-index:251659264" coordorigin="1493,71" coordsize="75,75">
            <v:shape style="position:absolute;left:1500;top:78;width:60;height:60" coordorigin="1500,79" coordsize="60,60" path="m1530,79l1518,81,1509,88,1502,97,1500,109,1502,121,1509,130,1518,136,1530,139,1542,136,1551,130,1558,121,1560,109,1558,97,1551,88,1542,81,1530,79xe" filled="true" fillcolor="#000000" stroked="false">
              <v:path arrowok="t"/>
              <v:fill type="solid"/>
            </v:shape>
            <v:shape style="position:absolute;left:1500;top:78;width:60;height:60" coordorigin="1500,79" coordsize="60,60" path="m1560,109l1558,121,1551,130,1542,136,1530,139,1518,136,1509,130,1502,121,1500,109,1502,97,1509,88,1518,81,1530,79,1542,81,1551,88,1558,97,1560,109e" filled="false" stroked="true" strokeweight=".75pt" strokecolor="#000000">
              <v:path arrowok="t"/>
              <v:stroke dashstyle="solid"/>
            </v:shape>
            <w10:wrap type="none"/>
          </v:group>
        </w:pict>
      </w:r>
      <w:r>
        <w:rPr/>
        <w:pict>
          <v:group style="position:absolute;margin-left:74.625pt;margin-top:14.816895pt;width:3.75pt;height:3.75pt;mso-position-horizontal-relative:page;mso-position-vertical-relative:paragraph;z-index:251660288" coordorigin="1493,296" coordsize="75,75">
            <v:shape style="position:absolute;left:1500;top:303;width:60;height:60" coordorigin="1500,304" coordsize="60,60" path="m1530,304l1518,306,1509,313,1502,322,1500,334,1502,346,1509,355,1518,361,1530,364,1542,361,1551,355,1558,346,1560,334,1558,322,1551,313,1542,306,1530,304xe" filled="true" fillcolor="#000000" stroked="false">
              <v:path arrowok="t"/>
              <v:fill type="solid"/>
            </v:shape>
            <v:shape style="position:absolute;left:1500;top:303;width:60;height:60" coordorigin="1500,304" coordsize="60,60" path="m1560,334l1558,346,1551,355,1542,361,1530,364,1518,361,1509,355,1502,346,1500,334,1502,322,1509,313,1518,306,1530,304,1542,306,1551,313,1558,322,1560,334e" filled="false" stroked="true" strokeweight=".75pt" strokecolor="#000000">
              <v:path arrowok="t"/>
              <v:stroke dashstyle="solid"/>
            </v:shape>
            <w10:wrap type="none"/>
          </v:group>
        </w:pict>
      </w:r>
      <w:r>
        <w:rPr/>
        <w:t>Good extreme pressure and anti-wear properties provide the potential  for  prolonged  component  life. Good water resistance provides enhanced protection in applications where the potential for exposure </w:t>
      </w:r>
      <w:r>
        <w:rPr>
          <w:spacing w:val="2"/>
        </w:rPr>
        <w:t>and </w:t>
      </w:r>
      <w:r>
        <w:rPr/>
        <w:t>contamination are</w:t>
      </w:r>
      <w:r>
        <w:rPr>
          <w:spacing w:val="10"/>
        </w:rPr>
        <w:t> </w:t>
      </w:r>
      <w:r>
        <w:rPr/>
        <w:t>higher.</w:t>
      </w:r>
    </w:p>
    <w:p>
      <w:pPr>
        <w:pStyle w:val="BodyText"/>
        <w:spacing w:line="205" w:lineRule="exact"/>
        <w:ind w:left="1025"/>
      </w:pPr>
      <w:r>
        <w:rPr/>
        <w:pict>
          <v:group style="position:absolute;margin-left:74.625pt;margin-top:3.475269pt;width:3.75pt;height:3.75pt;mso-position-horizontal-relative:page;mso-position-vertical-relative:paragraph;z-index:251661312" coordorigin="1493,70" coordsize="75,75">
            <v:shape style="position:absolute;left:1500;top:77;width:60;height:60" coordorigin="1500,77" coordsize="60,60" path="m1530,77l1518,79,1509,86,1502,95,1500,107,1502,119,1509,128,1518,135,1530,137,1542,135,1551,128,1558,119,1560,107,1558,95,1551,86,1542,79,1530,77xe" filled="true" fillcolor="#000000" stroked="false">
              <v:path arrowok="t"/>
              <v:fill type="solid"/>
            </v:shape>
            <v:shape style="position:absolute;left:1500;top:77;width:60;height:60" coordorigin="1500,77" coordsize="60,60" path="m1560,107l1558,119,1551,128,1542,135,1530,137,1518,135,1509,128,1502,119,1500,107,1502,95,1509,86,1518,79,1530,77,1542,79,1551,86,1558,95,1560,107e" filled="false" stroked="true" strokeweight=".75pt" strokecolor="#000000">
              <v:path arrowok="t"/>
              <v:stroke dashstyle="solid"/>
            </v:shape>
            <w10:wrap type="none"/>
          </v:group>
        </w:pict>
      </w:r>
      <w:r>
        <w:rPr/>
        <w:t>Good corrosion protection.</w:t>
      </w:r>
    </w:p>
    <w:p>
      <w:pPr>
        <w:pStyle w:val="BodyText"/>
        <w:spacing w:before="17"/>
        <w:ind w:left="1025"/>
      </w:pPr>
      <w:r>
        <w:rPr/>
        <w:pict>
          <v:group style="position:absolute;margin-left:74.625pt;margin-top:4.416894pt;width:3.75pt;height:3.75pt;mso-position-horizontal-relative:page;mso-position-vertical-relative:paragraph;z-index:251662336" coordorigin="1493,88" coordsize="75,75">
            <v:shape style="position:absolute;left:1500;top:95;width:60;height:60" coordorigin="1500,96" coordsize="60,60" path="m1530,96l1518,98,1509,105,1502,114,1500,126,1502,138,1509,147,1518,153,1530,156,1542,153,1551,147,1558,138,1560,126,1558,114,1551,105,1542,98,1530,96xe" filled="true" fillcolor="#000000" stroked="false">
              <v:path arrowok="t"/>
              <v:fill type="solid"/>
            </v:shape>
            <v:shape style="position:absolute;left:1500;top:95;width:60;height:60" coordorigin="1500,96" coordsize="60,60" path="m1560,126l1558,138,1551,147,1542,153,1530,156,1518,153,1509,147,1502,138,1500,126,1502,114,1509,105,1518,98,1530,96,1542,98,1551,105,1558,114,1560,126e" filled="false" stroked="true" strokeweight=".75pt" strokecolor="#000000">
              <v:path arrowok="t"/>
              <v:stroke dashstyle="solid"/>
            </v:shape>
            <w10:wrap type="none"/>
          </v:group>
        </w:pict>
      </w:r>
      <w:r>
        <w:rPr/>
        <w:t>Excellent multipurpose potential enabling a reduction in product inventory.</w:t>
      </w:r>
    </w:p>
    <w:p>
      <w:pPr>
        <w:spacing w:after="0"/>
        <w:sectPr>
          <w:footerReference w:type="default" r:id="rId5"/>
          <w:type w:val="continuous"/>
          <w:pgSz w:w="12240" w:h="15840"/>
          <w:pgMar w:footer="560" w:top="1020" w:bottom="760" w:left="700" w:right="980"/>
          <w:pgNumType w:start="1"/>
        </w:sectPr>
      </w:pPr>
    </w:p>
    <w:p>
      <w:pPr>
        <w:pStyle w:val="Heading1"/>
        <w:spacing w:before="81"/>
      </w:pPr>
      <w:r>
        <w:rPr/>
        <w:t>Technical Data</w:t>
      </w:r>
    </w:p>
    <w:p>
      <w:pPr>
        <w:pStyle w:val="BodyText"/>
        <w:spacing w:before="5"/>
        <w:rPr>
          <w:b/>
          <w:sz w:val="13"/>
        </w:rPr>
      </w:pPr>
    </w:p>
    <w:tbl>
      <w:tblPr>
        <w:tblW w:w="0" w:type="auto"/>
        <w:jc w:val="left"/>
        <w:tblInd w:w="440" w:type="dxa"/>
        <w:tblBorders>
          <w:top w:val="single" w:sz="6" w:space="0" w:color="878787"/>
          <w:left w:val="single" w:sz="6" w:space="0" w:color="878787"/>
          <w:bottom w:val="single" w:sz="6" w:space="0" w:color="878787"/>
          <w:right w:val="single" w:sz="6" w:space="0" w:color="878787"/>
          <w:insideH w:val="single" w:sz="6" w:space="0" w:color="878787"/>
          <w:insideV w:val="single" w:sz="6" w:space="0" w:color="878787"/>
        </w:tblBorders>
        <w:tblLayout w:type="fixed"/>
        <w:tblCellMar>
          <w:top w:w="0" w:type="dxa"/>
          <w:left w:w="0" w:type="dxa"/>
          <w:bottom w:w="0" w:type="dxa"/>
          <w:right w:w="0" w:type="dxa"/>
        </w:tblCellMar>
        <w:tblLook w:val="01E0"/>
      </w:tblPr>
      <w:tblGrid>
        <w:gridCol w:w="4575"/>
        <w:gridCol w:w="1365"/>
        <w:gridCol w:w="990"/>
        <w:gridCol w:w="3075"/>
      </w:tblGrid>
      <w:tr>
        <w:trPr>
          <w:trHeight w:val="345" w:hRule="atLeast"/>
        </w:trPr>
        <w:tc>
          <w:tcPr>
            <w:tcW w:w="4575" w:type="dxa"/>
            <w:tcBorders>
              <w:right w:val="single" w:sz="6" w:space="0" w:color="BFBFBF"/>
            </w:tcBorders>
          </w:tcPr>
          <w:p>
            <w:pPr>
              <w:pStyle w:val="TableParagraph"/>
              <w:spacing w:before="71"/>
              <w:rPr>
                <w:b/>
                <w:sz w:val="18"/>
              </w:rPr>
            </w:pPr>
            <w:r>
              <w:rPr>
                <w:b/>
                <w:sz w:val="18"/>
              </w:rPr>
              <w:t>Name</w:t>
            </w:r>
          </w:p>
        </w:tc>
        <w:tc>
          <w:tcPr>
            <w:tcW w:w="1365" w:type="dxa"/>
            <w:tcBorders>
              <w:left w:val="single" w:sz="6" w:space="0" w:color="BFBFBF"/>
              <w:right w:val="single" w:sz="6" w:space="0" w:color="BFBFBF"/>
            </w:tcBorders>
          </w:tcPr>
          <w:p>
            <w:pPr>
              <w:pStyle w:val="TableParagraph"/>
              <w:spacing w:before="71"/>
              <w:rPr>
                <w:b/>
                <w:sz w:val="18"/>
              </w:rPr>
            </w:pPr>
            <w:r>
              <w:rPr>
                <w:b/>
                <w:sz w:val="18"/>
              </w:rPr>
              <w:t>Method</w:t>
            </w:r>
          </w:p>
        </w:tc>
        <w:tc>
          <w:tcPr>
            <w:tcW w:w="990" w:type="dxa"/>
            <w:tcBorders>
              <w:left w:val="single" w:sz="6" w:space="0" w:color="BFBFBF"/>
              <w:right w:val="single" w:sz="6" w:space="0" w:color="BFBFBF"/>
            </w:tcBorders>
          </w:tcPr>
          <w:p>
            <w:pPr>
              <w:pStyle w:val="TableParagraph"/>
              <w:spacing w:before="71"/>
              <w:rPr>
                <w:b/>
                <w:sz w:val="18"/>
              </w:rPr>
            </w:pPr>
            <w:r>
              <w:rPr>
                <w:b/>
                <w:sz w:val="18"/>
              </w:rPr>
              <w:t>Units</w:t>
            </w:r>
          </w:p>
        </w:tc>
        <w:tc>
          <w:tcPr>
            <w:tcW w:w="3075" w:type="dxa"/>
            <w:tcBorders>
              <w:left w:val="single" w:sz="6" w:space="0" w:color="BFBFBF"/>
            </w:tcBorders>
          </w:tcPr>
          <w:p>
            <w:pPr>
              <w:pStyle w:val="TableParagraph"/>
              <w:spacing w:before="71"/>
              <w:rPr>
                <w:b/>
                <w:sz w:val="18"/>
              </w:rPr>
            </w:pPr>
            <w:r>
              <w:rPr>
                <w:b/>
                <w:sz w:val="18"/>
              </w:rPr>
              <w:t>High Temperature Grease</w:t>
            </w:r>
          </w:p>
        </w:tc>
      </w:tr>
      <w:tr>
        <w:trPr>
          <w:trHeight w:val="330" w:hRule="atLeast"/>
        </w:trPr>
        <w:tc>
          <w:tcPr>
            <w:tcW w:w="4575" w:type="dxa"/>
          </w:tcPr>
          <w:p>
            <w:pPr>
              <w:pStyle w:val="TableParagraph"/>
              <w:rPr>
                <w:sz w:val="16"/>
              </w:rPr>
            </w:pPr>
            <w:r>
              <w:rPr>
                <w:sz w:val="16"/>
              </w:rPr>
              <w:t>Thickener</w:t>
            </w:r>
          </w:p>
        </w:tc>
        <w:tc>
          <w:tcPr>
            <w:tcW w:w="1365" w:type="dxa"/>
          </w:tcPr>
          <w:p>
            <w:pPr>
              <w:pStyle w:val="TableParagraph"/>
              <w:spacing w:before="0"/>
              <w:ind w:left="0"/>
              <w:rPr>
                <w:rFonts w:ascii="Times New Roman"/>
                <w:sz w:val="16"/>
              </w:rPr>
            </w:pPr>
          </w:p>
        </w:tc>
        <w:tc>
          <w:tcPr>
            <w:tcW w:w="990" w:type="dxa"/>
          </w:tcPr>
          <w:p>
            <w:pPr>
              <w:pStyle w:val="TableParagraph"/>
              <w:spacing w:before="0"/>
              <w:ind w:left="0"/>
              <w:rPr>
                <w:rFonts w:ascii="Times New Roman"/>
                <w:sz w:val="16"/>
              </w:rPr>
            </w:pPr>
          </w:p>
        </w:tc>
        <w:tc>
          <w:tcPr>
            <w:tcW w:w="3075" w:type="dxa"/>
          </w:tcPr>
          <w:p>
            <w:pPr>
              <w:pStyle w:val="TableParagraph"/>
              <w:rPr>
                <w:sz w:val="16"/>
              </w:rPr>
            </w:pPr>
            <w:r>
              <w:rPr>
                <w:sz w:val="16"/>
              </w:rPr>
              <w:t>Lithium Complex</w:t>
            </w:r>
          </w:p>
        </w:tc>
      </w:tr>
      <w:tr>
        <w:trPr>
          <w:trHeight w:val="330" w:hRule="atLeast"/>
        </w:trPr>
        <w:tc>
          <w:tcPr>
            <w:tcW w:w="4575" w:type="dxa"/>
          </w:tcPr>
          <w:p>
            <w:pPr>
              <w:pStyle w:val="TableParagraph"/>
              <w:rPr>
                <w:sz w:val="16"/>
              </w:rPr>
            </w:pPr>
            <w:r>
              <w:rPr>
                <w:sz w:val="16"/>
              </w:rPr>
              <w:t>Base Oil</w:t>
            </w:r>
          </w:p>
        </w:tc>
        <w:tc>
          <w:tcPr>
            <w:tcW w:w="1365" w:type="dxa"/>
          </w:tcPr>
          <w:p>
            <w:pPr>
              <w:pStyle w:val="TableParagraph"/>
              <w:spacing w:before="0"/>
              <w:ind w:left="0"/>
              <w:rPr>
                <w:rFonts w:ascii="Times New Roman"/>
                <w:sz w:val="16"/>
              </w:rPr>
            </w:pPr>
          </w:p>
        </w:tc>
        <w:tc>
          <w:tcPr>
            <w:tcW w:w="990" w:type="dxa"/>
          </w:tcPr>
          <w:p>
            <w:pPr>
              <w:pStyle w:val="TableParagraph"/>
              <w:spacing w:before="0"/>
              <w:ind w:left="0"/>
              <w:rPr>
                <w:rFonts w:ascii="Times New Roman"/>
                <w:sz w:val="16"/>
              </w:rPr>
            </w:pPr>
          </w:p>
        </w:tc>
        <w:tc>
          <w:tcPr>
            <w:tcW w:w="3075" w:type="dxa"/>
          </w:tcPr>
          <w:p>
            <w:pPr>
              <w:pStyle w:val="TableParagraph"/>
              <w:rPr>
                <w:sz w:val="16"/>
              </w:rPr>
            </w:pPr>
            <w:r>
              <w:rPr>
                <w:sz w:val="16"/>
              </w:rPr>
              <w:t>Mineral</w:t>
            </w:r>
          </w:p>
        </w:tc>
      </w:tr>
      <w:tr>
        <w:trPr>
          <w:trHeight w:val="330" w:hRule="atLeast"/>
        </w:trPr>
        <w:tc>
          <w:tcPr>
            <w:tcW w:w="4575" w:type="dxa"/>
          </w:tcPr>
          <w:p>
            <w:pPr>
              <w:pStyle w:val="TableParagraph"/>
              <w:rPr>
                <w:sz w:val="16"/>
              </w:rPr>
            </w:pPr>
            <w:r>
              <w:rPr>
                <w:sz w:val="16"/>
              </w:rPr>
              <w:t>Appearance</w:t>
            </w:r>
          </w:p>
        </w:tc>
        <w:tc>
          <w:tcPr>
            <w:tcW w:w="1365" w:type="dxa"/>
          </w:tcPr>
          <w:p>
            <w:pPr>
              <w:pStyle w:val="TableParagraph"/>
              <w:rPr>
                <w:sz w:val="16"/>
              </w:rPr>
            </w:pPr>
            <w:r>
              <w:rPr>
                <w:sz w:val="16"/>
              </w:rPr>
              <w:t>Visual</w:t>
            </w:r>
          </w:p>
        </w:tc>
        <w:tc>
          <w:tcPr>
            <w:tcW w:w="990" w:type="dxa"/>
          </w:tcPr>
          <w:p>
            <w:pPr>
              <w:pStyle w:val="TableParagraph"/>
              <w:spacing w:before="0"/>
              <w:ind w:left="0"/>
              <w:rPr>
                <w:rFonts w:ascii="Times New Roman"/>
                <w:sz w:val="16"/>
              </w:rPr>
            </w:pPr>
          </w:p>
        </w:tc>
        <w:tc>
          <w:tcPr>
            <w:tcW w:w="3075" w:type="dxa"/>
          </w:tcPr>
          <w:p>
            <w:pPr>
              <w:pStyle w:val="TableParagraph"/>
              <w:rPr>
                <w:sz w:val="16"/>
              </w:rPr>
            </w:pPr>
            <w:r>
              <w:rPr>
                <w:sz w:val="16"/>
              </w:rPr>
              <w:t>Smooth brow n grease</w:t>
            </w:r>
          </w:p>
        </w:tc>
      </w:tr>
      <w:tr>
        <w:trPr>
          <w:trHeight w:val="330" w:hRule="atLeast"/>
        </w:trPr>
        <w:tc>
          <w:tcPr>
            <w:tcW w:w="4575" w:type="dxa"/>
          </w:tcPr>
          <w:p>
            <w:pPr>
              <w:pStyle w:val="TableParagraph"/>
              <w:rPr>
                <w:sz w:val="16"/>
              </w:rPr>
            </w:pPr>
            <w:r>
              <w:rPr>
                <w:sz w:val="16"/>
              </w:rPr>
              <w:t>NLGI Grade</w:t>
            </w:r>
          </w:p>
        </w:tc>
        <w:tc>
          <w:tcPr>
            <w:tcW w:w="1365" w:type="dxa"/>
          </w:tcPr>
          <w:p>
            <w:pPr>
              <w:pStyle w:val="TableParagraph"/>
              <w:rPr>
                <w:sz w:val="16"/>
              </w:rPr>
            </w:pPr>
            <w:r>
              <w:rPr>
                <w:sz w:val="16"/>
              </w:rPr>
              <w:t>ASTM D 217</w:t>
            </w:r>
          </w:p>
        </w:tc>
        <w:tc>
          <w:tcPr>
            <w:tcW w:w="990" w:type="dxa"/>
          </w:tcPr>
          <w:p>
            <w:pPr>
              <w:pStyle w:val="TableParagraph"/>
              <w:spacing w:before="0"/>
              <w:ind w:left="0"/>
              <w:rPr>
                <w:rFonts w:ascii="Times New Roman"/>
                <w:sz w:val="16"/>
              </w:rPr>
            </w:pPr>
          </w:p>
        </w:tc>
        <w:tc>
          <w:tcPr>
            <w:tcW w:w="3075" w:type="dxa"/>
          </w:tcPr>
          <w:p>
            <w:pPr>
              <w:pStyle w:val="TableParagraph"/>
              <w:rPr>
                <w:sz w:val="16"/>
              </w:rPr>
            </w:pPr>
            <w:r>
              <w:rPr>
                <w:sz w:val="16"/>
              </w:rPr>
              <w:t>2</w:t>
            </w:r>
          </w:p>
        </w:tc>
      </w:tr>
      <w:tr>
        <w:trPr>
          <w:trHeight w:val="330" w:hRule="atLeast"/>
        </w:trPr>
        <w:tc>
          <w:tcPr>
            <w:tcW w:w="4575" w:type="dxa"/>
          </w:tcPr>
          <w:p>
            <w:pPr>
              <w:pStyle w:val="TableParagraph"/>
              <w:rPr>
                <w:sz w:val="16"/>
              </w:rPr>
            </w:pPr>
            <w:r>
              <w:rPr>
                <w:sz w:val="16"/>
              </w:rPr>
              <w:t>Cone Penetration, Worked 60 Strokes</w:t>
            </w:r>
          </w:p>
        </w:tc>
        <w:tc>
          <w:tcPr>
            <w:tcW w:w="1365" w:type="dxa"/>
          </w:tcPr>
          <w:p>
            <w:pPr>
              <w:pStyle w:val="TableParagraph"/>
              <w:rPr>
                <w:sz w:val="16"/>
              </w:rPr>
            </w:pPr>
            <w:r>
              <w:rPr>
                <w:sz w:val="16"/>
              </w:rPr>
              <w:t>IP 50</w:t>
            </w:r>
          </w:p>
        </w:tc>
        <w:tc>
          <w:tcPr>
            <w:tcW w:w="990" w:type="dxa"/>
          </w:tcPr>
          <w:p>
            <w:pPr>
              <w:pStyle w:val="TableParagraph"/>
              <w:rPr>
                <w:sz w:val="16"/>
              </w:rPr>
            </w:pPr>
            <w:r>
              <w:rPr>
                <w:sz w:val="16"/>
              </w:rPr>
              <w:t>10ths/mm</w:t>
            </w:r>
          </w:p>
        </w:tc>
        <w:tc>
          <w:tcPr>
            <w:tcW w:w="3075" w:type="dxa"/>
          </w:tcPr>
          <w:p>
            <w:pPr>
              <w:pStyle w:val="TableParagraph"/>
              <w:rPr>
                <w:sz w:val="16"/>
              </w:rPr>
            </w:pPr>
            <w:r>
              <w:rPr>
                <w:sz w:val="16"/>
              </w:rPr>
              <w:t>275</w:t>
            </w:r>
          </w:p>
        </w:tc>
      </w:tr>
      <w:tr>
        <w:trPr>
          <w:trHeight w:val="330" w:hRule="atLeast"/>
        </w:trPr>
        <w:tc>
          <w:tcPr>
            <w:tcW w:w="4575" w:type="dxa"/>
          </w:tcPr>
          <w:p>
            <w:pPr>
              <w:pStyle w:val="TableParagraph"/>
              <w:rPr>
                <w:sz w:val="16"/>
              </w:rPr>
            </w:pPr>
            <w:r>
              <w:rPr>
                <w:sz w:val="16"/>
              </w:rPr>
              <w:t>Cone Penetration, Worked 100,000 Strokes</w:t>
            </w:r>
          </w:p>
        </w:tc>
        <w:tc>
          <w:tcPr>
            <w:tcW w:w="1365" w:type="dxa"/>
          </w:tcPr>
          <w:p>
            <w:pPr>
              <w:pStyle w:val="TableParagraph"/>
              <w:rPr>
                <w:sz w:val="16"/>
              </w:rPr>
            </w:pPr>
            <w:r>
              <w:rPr>
                <w:sz w:val="16"/>
              </w:rPr>
              <w:t>IP 50</w:t>
            </w:r>
          </w:p>
        </w:tc>
        <w:tc>
          <w:tcPr>
            <w:tcW w:w="990" w:type="dxa"/>
          </w:tcPr>
          <w:p>
            <w:pPr>
              <w:pStyle w:val="TableParagraph"/>
              <w:rPr>
                <w:sz w:val="16"/>
              </w:rPr>
            </w:pPr>
            <w:r>
              <w:rPr>
                <w:sz w:val="16"/>
              </w:rPr>
              <w:t>10ths/mm</w:t>
            </w:r>
          </w:p>
        </w:tc>
        <w:tc>
          <w:tcPr>
            <w:tcW w:w="3075" w:type="dxa"/>
          </w:tcPr>
          <w:p>
            <w:pPr>
              <w:pStyle w:val="TableParagraph"/>
              <w:rPr>
                <w:sz w:val="16"/>
              </w:rPr>
            </w:pPr>
            <w:r>
              <w:rPr>
                <w:sz w:val="16"/>
              </w:rPr>
              <w:t>285</w:t>
            </w:r>
          </w:p>
        </w:tc>
      </w:tr>
      <w:tr>
        <w:trPr>
          <w:trHeight w:val="330" w:hRule="atLeast"/>
        </w:trPr>
        <w:tc>
          <w:tcPr>
            <w:tcW w:w="4575" w:type="dxa"/>
          </w:tcPr>
          <w:p>
            <w:pPr>
              <w:pStyle w:val="TableParagraph"/>
              <w:rPr>
                <w:sz w:val="16"/>
              </w:rPr>
            </w:pPr>
            <w:r>
              <w:rPr>
                <w:sz w:val="16"/>
              </w:rPr>
              <w:t>Base Oil Viscosity @ 40°C</w:t>
            </w:r>
          </w:p>
        </w:tc>
        <w:tc>
          <w:tcPr>
            <w:tcW w:w="1365" w:type="dxa"/>
          </w:tcPr>
          <w:p>
            <w:pPr>
              <w:pStyle w:val="TableParagraph"/>
              <w:rPr>
                <w:sz w:val="16"/>
              </w:rPr>
            </w:pPr>
            <w:r>
              <w:rPr>
                <w:sz w:val="16"/>
              </w:rPr>
              <w:t>ASTM D 445</w:t>
            </w:r>
          </w:p>
        </w:tc>
        <w:tc>
          <w:tcPr>
            <w:tcW w:w="990" w:type="dxa"/>
          </w:tcPr>
          <w:p>
            <w:pPr>
              <w:pStyle w:val="TableParagraph"/>
              <w:rPr>
                <w:sz w:val="16"/>
              </w:rPr>
            </w:pPr>
            <w:r>
              <w:rPr>
                <w:sz w:val="16"/>
              </w:rPr>
              <w:t>mm²/s</w:t>
            </w:r>
          </w:p>
        </w:tc>
        <w:tc>
          <w:tcPr>
            <w:tcW w:w="3075" w:type="dxa"/>
          </w:tcPr>
          <w:p>
            <w:pPr>
              <w:pStyle w:val="TableParagraph"/>
              <w:rPr>
                <w:sz w:val="16"/>
              </w:rPr>
            </w:pPr>
            <w:r>
              <w:rPr>
                <w:sz w:val="16"/>
              </w:rPr>
              <w:t>180</w:t>
            </w:r>
          </w:p>
        </w:tc>
      </w:tr>
      <w:tr>
        <w:trPr>
          <w:trHeight w:val="330" w:hRule="atLeast"/>
        </w:trPr>
        <w:tc>
          <w:tcPr>
            <w:tcW w:w="4575" w:type="dxa"/>
          </w:tcPr>
          <w:p>
            <w:pPr>
              <w:pStyle w:val="TableParagraph"/>
              <w:rPr>
                <w:sz w:val="16"/>
              </w:rPr>
            </w:pPr>
            <w:r>
              <w:rPr>
                <w:sz w:val="16"/>
              </w:rPr>
              <w:t>Dropping Point, Grease</w:t>
            </w:r>
          </w:p>
        </w:tc>
        <w:tc>
          <w:tcPr>
            <w:tcW w:w="1365" w:type="dxa"/>
          </w:tcPr>
          <w:p>
            <w:pPr>
              <w:pStyle w:val="TableParagraph"/>
              <w:rPr>
                <w:sz w:val="16"/>
              </w:rPr>
            </w:pPr>
            <w:r>
              <w:rPr>
                <w:sz w:val="16"/>
              </w:rPr>
              <w:t>ASTM D566</w:t>
            </w:r>
          </w:p>
        </w:tc>
        <w:tc>
          <w:tcPr>
            <w:tcW w:w="990" w:type="dxa"/>
          </w:tcPr>
          <w:p>
            <w:pPr>
              <w:pStyle w:val="TableParagraph"/>
              <w:rPr>
                <w:sz w:val="16"/>
              </w:rPr>
            </w:pPr>
            <w:r>
              <w:rPr>
                <w:sz w:val="16"/>
              </w:rPr>
              <w:t>°C</w:t>
            </w:r>
          </w:p>
        </w:tc>
        <w:tc>
          <w:tcPr>
            <w:tcW w:w="3075" w:type="dxa"/>
          </w:tcPr>
          <w:p>
            <w:pPr>
              <w:pStyle w:val="TableParagraph"/>
              <w:rPr>
                <w:sz w:val="16"/>
              </w:rPr>
            </w:pPr>
            <w:r>
              <w:rPr>
                <w:sz w:val="16"/>
              </w:rPr>
              <w:t>260</w:t>
            </w:r>
          </w:p>
        </w:tc>
      </w:tr>
      <w:tr>
        <w:trPr>
          <w:trHeight w:val="330" w:hRule="atLeast"/>
        </w:trPr>
        <w:tc>
          <w:tcPr>
            <w:tcW w:w="4575" w:type="dxa"/>
          </w:tcPr>
          <w:p>
            <w:pPr>
              <w:pStyle w:val="TableParagraph"/>
              <w:rPr>
                <w:sz w:val="16"/>
              </w:rPr>
            </w:pPr>
            <w:r>
              <w:rPr>
                <w:sz w:val="16"/>
              </w:rPr>
              <w:t>Oil Separation, 18 hrs @ 100°C</w:t>
            </w:r>
          </w:p>
        </w:tc>
        <w:tc>
          <w:tcPr>
            <w:tcW w:w="1365" w:type="dxa"/>
          </w:tcPr>
          <w:p>
            <w:pPr>
              <w:pStyle w:val="TableParagraph"/>
              <w:rPr>
                <w:sz w:val="16"/>
              </w:rPr>
            </w:pPr>
            <w:r>
              <w:rPr>
                <w:sz w:val="16"/>
              </w:rPr>
              <w:t>IP121</w:t>
            </w:r>
          </w:p>
        </w:tc>
        <w:tc>
          <w:tcPr>
            <w:tcW w:w="990" w:type="dxa"/>
          </w:tcPr>
          <w:p>
            <w:pPr>
              <w:pStyle w:val="TableParagraph"/>
              <w:rPr>
                <w:sz w:val="16"/>
              </w:rPr>
            </w:pPr>
            <w:r>
              <w:rPr>
                <w:sz w:val="16"/>
              </w:rPr>
              <w:t>%</w:t>
            </w:r>
          </w:p>
        </w:tc>
        <w:tc>
          <w:tcPr>
            <w:tcW w:w="3075" w:type="dxa"/>
          </w:tcPr>
          <w:p>
            <w:pPr>
              <w:pStyle w:val="TableParagraph"/>
              <w:rPr>
                <w:sz w:val="16"/>
              </w:rPr>
            </w:pPr>
            <w:r>
              <w:rPr>
                <w:sz w:val="16"/>
              </w:rPr>
              <w:t>7.5</w:t>
            </w:r>
          </w:p>
        </w:tc>
      </w:tr>
      <w:tr>
        <w:trPr>
          <w:trHeight w:val="330" w:hRule="atLeast"/>
        </w:trPr>
        <w:tc>
          <w:tcPr>
            <w:tcW w:w="4575" w:type="dxa"/>
          </w:tcPr>
          <w:p>
            <w:pPr>
              <w:pStyle w:val="TableParagraph"/>
              <w:rPr>
                <w:sz w:val="16"/>
              </w:rPr>
            </w:pPr>
            <w:r>
              <w:rPr>
                <w:sz w:val="16"/>
              </w:rPr>
              <w:t>Oil Separation</w:t>
            </w:r>
          </w:p>
        </w:tc>
        <w:tc>
          <w:tcPr>
            <w:tcW w:w="1365" w:type="dxa"/>
          </w:tcPr>
          <w:p>
            <w:pPr>
              <w:pStyle w:val="TableParagraph"/>
              <w:rPr>
                <w:sz w:val="16"/>
              </w:rPr>
            </w:pPr>
            <w:r>
              <w:rPr>
                <w:sz w:val="16"/>
              </w:rPr>
              <w:t>ASTM D 1742</w:t>
            </w:r>
          </w:p>
        </w:tc>
        <w:tc>
          <w:tcPr>
            <w:tcW w:w="990" w:type="dxa"/>
          </w:tcPr>
          <w:p>
            <w:pPr>
              <w:pStyle w:val="TableParagraph"/>
              <w:rPr>
                <w:sz w:val="16"/>
              </w:rPr>
            </w:pPr>
            <w:r>
              <w:rPr>
                <w:sz w:val="16"/>
              </w:rPr>
              <w:t>%</w:t>
            </w:r>
          </w:p>
        </w:tc>
        <w:tc>
          <w:tcPr>
            <w:tcW w:w="3075" w:type="dxa"/>
          </w:tcPr>
          <w:p>
            <w:pPr>
              <w:pStyle w:val="TableParagraph"/>
              <w:rPr>
                <w:sz w:val="16"/>
              </w:rPr>
            </w:pPr>
            <w:r>
              <w:rPr>
                <w:sz w:val="16"/>
              </w:rPr>
              <w:t>3.6</w:t>
            </w:r>
          </w:p>
        </w:tc>
      </w:tr>
      <w:tr>
        <w:trPr>
          <w:trHeight w:val="330" w:hRule="atLeast"/>
        </w:trPr>
        <w:tc>
          <w:tcPr>
            <w:tcW w:w="4575" w:type="dxa"/>
          </w:tcPr>
          <w:p>
            <w:pPr>
              <w:pStyle w:val="TableParagraph"/>
              <w:rPr>
                <w:sz w:val="16"/>
              </w:rPr>
            </w:pPr>
            <w:r>
              <w:rPr>
                <w:sz w:val="16"/>
              </w:rPr>
              <w:t>Water Washout, 1 hr @ 79°C</w:t>
            </w:r>
          </w:p>
        </w:tc>
        <w:tc>
          <w:tcPr>
            <w:tcW w:w="1365" w:type="dxa"/>
          </w:tcPr>
          <w:p>
            <w:pPr>
              <w:pStyle w:val="TableParagraph"/>
              <w:rPr>
                <w:sz w:val="16"/>
              </w:rPr>
            </w:pPr>
            <w:r>
              <w:rPr>
                <w:sz w:val="16"/>
              </w:rPr>
              <w:t>ASTM D 1264</w:t>
            </w:r>
          </w:p>
        </w:tc>
        <w:tc>
          <w:tcPr>
            <w:tcW w:w="990" w:type="dxa"/>
          </w:tcPr>
          <w:p>
            <w:pPr>
              <w:pStyle w:val="TableParagraph"/>
              <w:rPr>
                <w:sz w:val="16"/>
              </w:rPr>
            </w:pPr>
            <w:r>
              <w:rPr>
                <w:sz w:val="16"/>
              </w:rPr>
              <w:t>% w t</w:t>
            </w:r>
          </w:p>
        </w:tc>
        <w:tc>
          <w:tcPr>
            <w:tcW w:w="3075" w:type="dxa"/>
          </w:tcPr>
          <w:p>
            <w:pPr>
              <w:pStyle w:val="TableParagraph"/>
              <w:rPr>
                <w:sz w:val="16"/>
              </w:rPr>
            </w:pPr>
            <w:r>
              <w:rPr>
                <w:sz w:val="16"/>
              </w:rPr>
              <w:t>3.5</w:t>
            </w:r>
          </w:p>
        </w:tc>
      </w:tr>
      <w:tr>
        <w:trPr>
          <w:trHeight w:val="330" w:hRule="atLeast"/>
        </w:trPr>
        <w:tc>
          <w:tcPr>
            <w:tcW w:w="4575" w:type="dxa"/>
          </w:tcPr>
          <w:p>
            <w:pPr>
              <w:pStyle w:val="TableParagraph"/>
              <w:rPr>
                <w:sz w:val="16"/>
              </w:rPr>
            </w:pPr>
            <w:r>
              <w:rPr>
                <w:sz w:val="16"/>
              </w:rPr>
              <w:t>Emcor Corrosion Protection, Distilled Water</w:t>
            </w:r>
          </w:p>
        </w:tc>
        <w:tc>
          <w:tcPr>
            <w:tcW w:w="1365" w:type="dxa"/>
          </w:tcPr>
          <w:p>
            <w:pPr>
              <w:pStyle w:val="TableParagraph"/>
              <w:rPr>
                <w:sz w:val="16"/>
              </w:rPr>
            </w:pPr>
            <w:r>
              <w:rPr>
                <w:sz w:val="16"/>
              </w:rPr>
              <w:t>IP220</w:t>
            </w:r>
          </w:p>
        </w:tc>
        <w:tc>
          <w:tcPr>
            <w:tcW w:w="990" w:type="dxa"/>
          </w:tcPr>
          <w:p>
            <w:pPr>
              <w:pStyle w:val="TableParagraph"/>
              <w:rPr>
                <w:sz w:val="16"/>
              </w:rPr>
            </w:pPr>
            <w:r>
              <w:rPr>
                <w:sz w:val="16"/>
              </w:rPr>
              <w:t>Rating</w:t>
            </w:r>
          </w:p>
        </w:tc>
        <w:tc>
          <w:tcPr>
            <w:tcW w:w="3075" w:type="dxa"/>
          </w:tcPr>
          <w:p>
            <w:pPr>
              <w:pStyle w:val="TableParagraph"/>
              <w:rPr>
                <w:sz w:val="16"/>
              </w:rPr>
            </w:pPr>
            <w:r>
              <w:rPr>
                <w:sz w:val="16"/>
              </w:rPr>
              <w:t>0 - 0</w:t>
            </w:r>
          </w:p>
        </w:tc>
      </w:tr>
      <w:tr>
        <w:trPr>
          <w:trHeight w:val="330" w:hRule="atLeast"/>
        </w:trPr>
        <w:tc>
          <w:tcPr>
            <w:tcW w:w="4575" w:type="dxa"/>
          </w:tcPr>
          <w:p>
            <w:pPr>
              <w:pStyle w:val="TableParagraph"/>
              <w:rPr>
                <w:sz w:val="16"/>
              </w:rPr>
            </w:pPr>
            <w:r>
              <w:rPr>
                <w:sz w:val="16"/>
              </w:rPr>
              <w:t>Corrosion Prevention</w:t>
            </w:r>
          </w:p>
        </w:tc>
        <w:tc>
          <w:tcPr>
            <w:tcW w:w="1365" w:type="dxa"/>
          </w:tcPr>
          <w:p>
            <w:pPr>
              <w:pStyle w:val="TableParagraph"/>
              <w:rPr>
                <w:sz w:val="16"/>
              </w:rPr>
            </w:pPr>
            <w:r>
              <w:rPr>
                <w:sz w:val="16"/>
              </w:rPr>
              <w:t>ASTM D 1743</w:t>
            </w:r>
          </w:p>
        </w:tc>
        <w:tc>
          <w:tcPr>
            <w:tcW w:w="990" w:type="dxa"/>
          </w:tcPr>
          <w:p>
            <w:pPr>
              <w:pStyle w:val="TableParagraph"/>
              <w:rPr>
                <w:sz w:val="16"/>
              </w:rPr>
            </w:pPr>
            <w:r>
              <w:rPr>
                <w:sz w:val="16"/>
              </w:rPr>
              <w:t>Rating</w:t>
            </w:r>
          </w:p>
        </w:tc>
        <w:tc>
          <w:tcPr>
            <w:tcW w:w="3075" w:type="dxa"/>
          </w:tcPr>
          <w:p>
            <w:pPr>
              <w:pStyle w:val="TableParagraph"/>
              <w:rPr>
                <w:sz w:val="16"/>
              </w:rPr>
            </w:pPr>
            <w:r>
              <w:rPr>
                <w:sz w:val="16"/>
              </w:rPr>
              <w:t>Pass</w:t>
            </w:r>
          </w:p>
        </w:tc>
      </w:tr>
      <w:tr>
        <w:trPr>
          <w:trHeight w:val="330" w:hRule="atLeast"/>
        </w:trPr>
        <w:tc>
          <w:tcPr>
            <w:tcW w:w="4575" w:type="dxa"/>
          </w:tcPr>
          <w:p>
            <w:pPr>
              <w:pStyle w:val="TableParagraph"/>
              <w:rPr>
                <w:sz w:val="16"/>
              </w:rPr>
            </w:pPr>
            <w:r>
              <w:rPr>
                <w:sz w:val="16"/>
              </w:rPr>
              <w:t>Pressure Vessel Oxidation, Pressure Drop @ 100 hrs</w:t>
            </w:r>
          </w:p>
        </w:tc>
        <w:tc>
          <w:tcPr>
            <w:tcW w:w="1365" w:type="dxa"/>
          </w:tcPr>
          <w:p>
            <w:pPr>
              <w:pStyle w:val="TableParagraph"/>
              <w:rPr>
                <w:sz w:val="16"/>
              </w:rPr>
            </w:pPr>
            <w:r>
              <w:rPr>
                <w:sz w:val="16"/>
              </w:rPr>
              <w:t>ASTM D 942</w:t>
            </w:r>
          </w:p>
        </w:tc>
        <w:tc>
          <w:tcPr>
            <w:tcW w:w="990" w:type="dxa"/>
          </w:tcPr>
          <w:p>
            <w:pPr>
              <w:pStyle w:val="TableParagraph"/>
              <w:rPr>
                <w:sz w:val="16"/>
              </w:rPr>
            </w:pPr>
            <w:r>
              <w:rPr>
                <w:sz w:val="16"/>
              </w:rPr>
              <w:t>psi</w:t>
            </w:r>
          </w:p>
        </w:tc>
        <w:tc>
          <w:tcPr>
            <w:tcW w:w="3075" w:type="dxa"/>
          </w:tcPr>
          <w:p>
            <w:pPr>
              <w:pStyle w:val="TableParagraph"/>
              <w:rPr>
                <w:sz w:val="16"/>
              </w:rPr>
            </w:pPr>
            <w:r>
              <w:rPr>
                <w:sz w:val="16"/>
              </w:rPr>
              <w:t>2.0</w:t>
            </w:r>
          </w:p>
        </w:tc>
      </w:tr>
      <w:tr>
        <w:trPr>
          <w:trHeight w:val="330" w:hRule="atLeast"/>
        </w:trPr>
        <w:tc>
          <w:tcPr>
            <w:tcW w:w="4575" w:type="dxa"/>
          </w:tcPr>
          <w:p>
            <w:pPr>
              <w:pStyle w:val="TableParagraph"/>
              <w:rPr>
                <w:sz w:val="16"/>
              </w:rPr>
            </w:pPr>
            <w:r>
              <w:rPr>
                <w:sz w:val="16"/>
              </w:rPr>
              <w:t>4 Ball Weld Point</w:t>
            </w:r>
          </w:p>
        </w:tc>
        <w:tc>
          <w:tcPr>
            <w:tcW w:w="1365" w:type="dxa"/>
          </w:tcPr>
          <w:p>
            <w:pPr>
              <w:pStyle w:val="TableParagraph"/>
              <w:rPr>
                <w:sz w:val="16"/>
              </w:rPr>
            </w:pPr>
            <w:r>
              <w:rPr>
                <w:sz w:val="16"/>
              </w:rPr>
              <w:t>IP 239</w:t>
            </w:r>
          </w:p>
        </w:tc>
        <w:tc>
          <w:tcPr>
            <w:tcW w:w="990" w:type="dxa"/>
          </w:tcPr>
          <w:p>
            <w:pPr>
              <w:pStyle w:val="TableParagraph"/>
              <w:rPr>
                <w:sz w:val="16"/>
              </w:rPr>
            </w:pPr>
            <w:r>
              <w:rPr>
                <w:sz w:val="16"/>
              </w:rPr>
              <w:t>kg</w:t>
            </w:r>
          </w:p>
        </w:tc>
        <w:tc>
          <w:tcPr>
            <w:tcW w:w="3075" w:type="dxa"/>
          </w:tcPr>
          <w:p>
            <w:pPr>
              <w:pStyle w:val="TableParagraph"/>
              <w:rPr>
                <w:sz w:val="16"/>
              </w:rPr>
            </w:pPr>
            <w:r>
              <w:rPr>
                <w:sz w:val="16"/>
              </w:rPr>
              <w:t>310</w:t>
            </w:r>
          </w:p>
        </w:tc>
      </w:tr>
      <w:tr>
        <w:trPr>
          <w:trHeight w:val="330" w:hRule="atLeast"/>
        </w:trPr>
        <w:tc>
          <w:tcPr>
            <w:tcW w:w="4575" w:type="dxa"/>
          </w:tcPr>
          <w:p>
            <w:pPr>
              <w:pStyle w:val="TableParagraph"/>
              <w:rPr>
                <w:sz w:val="16"/>
              </w:rPr>
            </w:pPr>
            <w:r>
              <w:rPr>
                <w:sz w:val="16"/>
              </w:rPr>
              <w:t>Wheel Bearing Leakage @ 105°C</w:t>
            </w:r>
          </w:p>
        </w:tc>
        <w:tc>
          <w:tcPr>
            <w:tcW w:w="1365" w:type="dxa"/>
          </w:tcPr>
          <w:p>
            <w:pPr>
              <w:pStyle w:val="TableParagraph"/>
              <w:rPr>
                <w:sz w:val="16"/>
              </w:rPr>
            </w:pPr>
            <w:r>
              <w:rPr>
                <w:sz w:val="16"/>
              </w:rPr>
              <w:t>ASTM D 1263</w:t>
            </w:r>
          </w:p>
        </w:tc>
        <w:tc>
          <w:tcPr>
            <w:tcW w:w="990" w:type="dxa"/>
          </w:tcPr>
          <w:p>
            <w:pPr>
              <w:pStyle w:val="TableParagraph"/>
              <w:rPr>
                <w:sz w:val="16"/>
              </w:rPr>
            </w:pPr>
            <w:r>
              <w:rPr>
                <w:sz w:val="16"/>
              </w:rPr>
              <w:t>g</w:t>
            </w:r>
          </w:p>
        </w:tc>
        <w:tc>
          <w:tcPr>
            <w:tcW w:w="3075" w:type="dxa"/>
          </w:tcPr>
          <w:p>
            <w:pPr>
              <w:pStyle w:val="TableParagraph"/>
              <w:rPr>
                <w:sz w:val="16"/>
              </w:rPr>
            </w:pPr>
            <w:r>
              <w:rPr>
                <w:sz w:val="16"/>
              </w:rPr>
              <w:t>2.3</w:t>
            </w:r>
          </w:p>
        </w:tc>
      </w:tr>
      <w:tr>
        <w:trPr>
          <w:trHeight w:val="330" w:hRule="atLeast"/>
        </w:trPr>
        <w:tc>
          <w:tcPr>
            <w:tcW w:w="4575" w:type="dxa"/>
          </w:tcPr>
          <w:p>
            <w:pPr>
              <w:pStyle w:val="TableParagraph"/>
              <w:rPr>
                <w:sz w:val="16"/>
              </w:rPr>
            </w:pPr>
            <w:r>
              <w:rPr>
                <w:sz w:val="16"/>
              </w:rPr>
              <w:t>Temperature Range</w:t>
            </w:r>
          </w:p>
        </w:tc>
        <w:tc>
          <w:tcPr>
            <w:tcW w:w="1365" w:type="dxa"/>
          </w:tcPr>
          <w:p>
            <w:pPr>
              <w:pStyle w:val="TableParagraph"/>
              <w:spacing w:before="0"/>
              <w:ind w:left="0"/>
              <w:rPr>
                <w:rFonts w:ascii="Times New Roman"/>
                <w:sz w:val="16"/>
              </w:rPr>
            </w:pPr>
          </w:p>
        </w:tc>
        <w:tc>
          <w:tcPr>
            <w:tcW w:w="990" w:type="dxa"/>
          </w:tcPr>
          <w:p>
            <w:pPr>
              <w:pStyle w:val="TableParagraph"/>
              <w:spacing w:before="0"/>
              <w:ind w:left="0"/>
              <w:rPr>
                <w:rFonts w:ascii="Times New Roman"/>
                <w:sz w:val="16"/>
              </w:rPr>
            </w:pPr>
          </w:p>
        </w:tc>
        <w:tc>
          <w:tcPr>
            <w:tcW w:w="3075" w:type="dxa"/>
          </w:tcPr>
          <w:p>
            <w:pPr>
              <w:pStyle w:val="TableParagraph"/>
              <w:rPr>
                <w:sz w:val="16"/>
              </w:rPr>
            </w:pPr>
            <w:r>
              <w:rPr>
                <w:sz w:val="16"/>
              </w:rPr>
              <w:t>-30°C to +140°C</w:t>
            </w:r>
          </w:p>
        </w:tc>
      </w:tr>
    </w:tbl>
    <w:p>
      <w:pPr>
        <w:pStyle w:val="BodyText"/>
        <w:spacing w:before="71"/>
        <w:ind w:left="425"/>
      </w:pPr>
      <w:r>
        <w:rPr/>
        <w:t>The above figures are typical of those obtained with normal production tolerance and do not constitute a specification.</w:t>
      </w:r>
    </w:p>
    <w:p>
      <w:pPr>
        <w:pStyle w:val="BodyText"/>
        <w:rPr>
          <w:sz w:val="25"/>
        </w:rPr>
      </w:pPr>
    </w:p>
    <w:p>
      <w:pPr>
        <w:pStyle w:val="Heading1"/>
      </w:pPr>
      <w:r>
        <w:rPr/>
        <w:t>Additional Information</w:t>
      </w:r>
    </w:p>
    <w:p>
      <w:pPr>
        <w:pStyle w:val="BodyText"/>
        <w:spacing w:before="106"/>
        <w:ind w:left="425"/>
      </w:pPr>
      <w:r>
        <w:rPr/>
        <w:t>Castrol High Temperature grease is an EP grease and is generally not recommended for electric motor bearings.</w:t>
      </w:r>
    </w:p>
    <w:p>
      <w:pPr>
        <w:pStyle w:val="BodyText"/>
        <w:spacing w:before="1"/>
        <w:rPr>
          <w:sz w:val="25"/>
        </w:rPr>
      </w:pPr>
    </w:p>
    <w:p>
      <w:pPr>
        <w:pStyle w:val="Heading1"/>
      </w:pPr>
      <w:r>
        <w:rPr/>
        <w:t>Care and Handling</w:t>
      </w:r>
    </w:p>
    <w:p>
      <w:pPr>
        <w:pStyle w:val="BodyText"/>
        <w:spacing w:before="106"/>
        <w:ind w:left="425"/>
      </w:pPr>
      <w:r>
        <w:rPr/>
        <w:t>Avoid prolonged or repeated contact with skin. Wash thoroughly after handling.</w:t>
      </w:r>
    </w:p>
    <w:p>
      <w:pPr>
        <w:spacing w:after="0"/>
        <w:sectPr>
          <w:pgSz w:w="12240" w:h="15840"/>
          <w:pgMar w:header="0" w:footer="560" w:top="1220" w:bottom="760" w:left="700" w:right="980"/>
        </w:sectPr>
      </w:pPr>
    </w:p>
    <w:p>
      <w:pPr>
        <w:pStyle w:val="Heading1"/>
        <w:spacing w:before="81"/>
      </w:pPr>
      <w:r>
        <w:rPr/>
        <w:t>Storage</w:t>
      </w:r>
    </w:p>
    <w:p>
      <w:pPr>
        <w:pStyle w:val="BodyText"/>
        <w:spacing w:line="261" w:lineRule="auto" w:before="106"/>
        <w:ind w:left="425" w:right="471"/>
        <w:jc w:val="both"/>
      </w:pPr>
      <w:r>
        <w:rPr/>
        <w:t>All packages should be stored under cover. Where outside storage is unavoidable drums should be laid horizontally to avoid the possible ingress of water and the obliteration of drum markings. Products should not be stored above 600C, exposed to hot sun or freezing conditions.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2"/>
        </w:rPr>
      </w:pPr>
    </w:p>
    <w:p>
      <w:pPr>
        <w:spacing w:before="0"/>
        <w:ind w:left="100" w:right="8813" w:firstLine="0"/>
        <w:jc w:val="left"/>
        <w:rPr>
          <w:sz w:val="14"/>
        </w:rPr>
      </w:pPr>
      <w:r>
        <w:rPr>
          <w:sz w:val="14"/>
        </w:rPr>
        <w:t>High Temperature Grease 29 Aug 2012</w:t>
      </w:r>
    </w:p>
    <w:p>
      <w:pPr>
        <w:spacing w:before="1"/>
        <w:ind w:left="100" w:right="0" w:firstLine="0"/>
        <w:jc w:val="left"/>
        <w:rPr>
          <w:sz w:val="14"/>
        </w:rPr>
      </w:pPr>
      <w:r>
        <w:rPr>
          <w:sz w:val="14"/>
        </w:rPr>
        <w:t>Castrol, the Castrol logo and related marks are trademarks of Castrol Limited, used under licence.</w:t>
      </w:r>
    </w:p>
    <w:p>
      <w:pPr>
        <w:pStyle w:val="BodyText"/>
        <w:spacing w:before="2"/>
        <w:rPr>
          <w:sz w:val="14"/>
        </w:rPr>
      </w:pPr>
    </w:p>
    <w:p>
      <w:pPr>
        <w:spacing w:before="0"/>
        <w:ind w:left="100" w:right="483" w:firstLine="0"/>
        <w:jc w:val="left"/>
        <w:rPr>
          <w:sz w:val="14"/>
        </w:rPr>
      </w:pPr>
      <w:r>
        <w:rPr>
          <w:sz w:val="14"/>
        </w:rPr>
        <w:t>This data sheet and the information it contains is believed to be accurate as of the date of printing. However, no warranty or representation, express or implied, is made as to its accuracy or completeness. Data provided is based on standard tests under laboratory conditions and is given as a guide only. Users are advised to ensure that they refer to the latest version of this data sheet. It is the responsibility of the user to evaluate and use products safely, to assess suitability for the intended application and to comply with all applicable laws and regulations. Safety Data Sheets are available for all our products and should be consulted for appropriate information regarding storage, safe handling, and disposal of the product. No responsibility is taken by either BP plc or its subsidiaries for any damage or injury resulting from abnormal use of the material, from any failure to adhere to recommendations, or from hazards inherent in the nature of the material. All products, services and information supplied are provided under our standard conditions of sale. You should consult our local representative if you require any further information.</w:t>
      </w:r>
    </w:p>
    <w:p>
      <w:pPr>
        <w:pStyle w:val="BodyText"/>
        <w:spacing w:before="8"/>
        <w:rPr>
          <w:sz w:val="14"/>
        </w:rPr>
      </w:pPr>
    </w:p>
    <w:p>
      <w:pPr>
        <w:spacing w:before="0"/>
        <w:ind w:left="100" w:right="0" w:firstLine="0"/>
        <w:jc w:val="left"/>
        <w:rPr>
          <w:sz w:val="14"/>
        </w:rPr>
      </w:pPr>
      <w:r>
        <w:rPr>
          <w:sz w:val="14"/>
        </w:rPr>
        <w:t>The Technology Centre, Whitchurch Hill, Pangbourne, Reading, RG8 7QR, United Kingdom</w:t>
      </w:r>
    </w:p>
    <w:p>
      <w:pPr>
        <w:spacing w:before="1"/>
        <w:ind w:left="100" w:right="0" w:firstLine="0"/>
        <w:jc w:val="left"/>
        <w:rPr>
          <w:sz w:val="14"/>
        </w:rPr>
      </w:pPr>
      <w:r>
        <w:rPr>
          <w:sz w:val="14"/>
        </w:rPr>
        <w:t>+44 (0)203 915 7991</w:t>
      </w:r>
    </w:p>
    <w:p>
      <w:pPr>
        <w:spacing w:before="1"/>
        <w:ind w:left="100" w:right="0" w:firstLine="0"/>
        <w:jc w:val="left"/>
        <w:rPr>
          <w:sz w:val="14"/>
        </w:rPr>
      </w:pPr>
      <w:hyperlink r:id="rId7">
        <w:r>
          <w:rPr>
            <w:sz w:val="14"/>
          </w:rPr>
          <w:t>www.castrol.com/globalbusiness</w:t>
        </w:r>
      </w:hyperlink>
    </w:p>
    <w:sectPr>
      <w:pgSz w:w="12240" w:h="15840"/>
      <w:pgMar w:header="0" w:footer="560" w:top="1220" w:bottom="760" w:left="70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ahoma">
    <w:altName w:val="Tahoma"/>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1pt;margin-top:753pt;width:32pt;height:10.5pt;mso-position-horizontal-relative:page;mso-position-vertical-relative:page;z-index:-252020736" type="#_x0000_t202" filled="false" stroked="false">
          <v:textbox inset="0,0,0,0">
            <w:txbxContent>
              <w:p>
                <w:pPr>
                  <w:spacing w:before="0"/>
                  <w:ind w:left="20" w:right="0" w:firstLine="0"/>
                  <w:jc w:val="left"/>
                  <w:rPr>
                    <w:sz w:val="17"/>
                  </w:rPr>
                </w:pPr>
                <w:r>
                  <w:rPr>
                    <w:w w:val="85"/>
                    <w:sz w:val="17"/>
                  </w:rPr>
                  <w:t>Page: </w:t>
                </w:r>
                <w:r>
                  <w:rPr/>
                  <w:fldChar w:fldCharType="begin"/>
                </w:r>
                <w:r>
                  <w:rPr>
                    <w:w w:val="85"/>
                    <w:sz w:val="17"/>
                  </w:rPr>
                  <w:instrText> PAGE </w:instrText>
                </w:r>
                <w:r>
                  <w:rPr/>
                  <w:fldChar w:fldCharType="separate"/>
                </w:r>
                <w:r>
                  <w:rPr/>
                  <w:t>1</w:t>
                </w:r>
                <w:r>
                  <w:rPr/>
                  <w:fldChar w:fldCharType="end"/>
                </w:r>
                <w:r>
                  <w:rPr>
                    <w:w w:val="85"/>
                    <w:sz w:val="17"/>
                  </w:rPr>
                  <w:t>/3</w:t>
                </w:r>
              </w:p>
            </w:txbxContent>
          </v:textbox>
          <w10:wrap type="none"/>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en-US"/>
    </w:rPr>
  </w:style>
  <w:style w:styleId="BodyText" w:type="paragraph">
    <w:name w:val="Body Text"/>
    <w:basedOn w:val="Normal"/>
    <w:uiPriority w:val="1"/>
    <w:qFormat/>
    <w:pPr/>
    <w:rPr>
      <w:rFonts w:ascii="Arial" w:hAnsi="Arial" w:eastAsia="Arial" w:cs="Arial"/>
      <w:sz w:val="18"/>
      <w:szCs w:val="18"/>
      <w:lang w:val="en-US" w:eastAsia="en-US" w:bidi="en-US"/>
    </w:rPr>
  </w:style>
  <w:style w:styleId="Heading1" w:type="paragraph">
    <w:name w:val="Heading 1"/>
    <w:basedOn w:val="Normal"/>
    <w:uiPriority w:val="1"/>
    <w:qFormat/>
    <w:pPr>
      <w:ind w:left="425"/>
      <w:outlineLvl w:val="1"/>
    </w:pPr>
    <w:rPr>
      <w:rFonts w:ascii="Arial" w:hAnsi="Arial" w:eastAsia="Arial" w:cs="Arial"/>
      <w:b/>
      <w:bCs/>
      <w:sz w:val="26"/>
      <w:szCs w:val="26"/>
      <w:lang w:val="en-US" w:eastAsia="en-US" w:bidi="en-US"/>
    </w:rPr>
  </w:style>
  <w:style w:styleId="Title" w:type="paragraph">
    <w:name w:val="Title"/>
    <w:basedOn w:val="Normal"/>
    <w:uiPriority w:val="1"/>
    <w:qFormat/>
    <w:pPr>
      <w:spacing w:before="204"/>
      <w:ind w:left="6545"/>
    </w:pPr>
    <w:rPr>
      <w:rFonts w:ascii="Arial" w:hAnsi="Arial" w:eastAsia="Arial" w:cs="Arial"/>
      <w:b/>
      <w:bCs/>
      <w:sz w:val="32"/>
      <w:szCs w:val="32"/>
      <w:lang w:val="en-US" w:eastAsia="en-US" w:bidi="en-US"/>
    </w:rPr>
  </w:style>
  <w:style w:styleId="ListParagraph" w:type="paragraph">
    <w:name w:val="List Paragraph"/>
    <w:basedOn w:val="Normal"/>
    <w:uiPriority w:val="1"/>
    <w:qFormat/>
    <w:pPr/>
    <w:rPr>
      <w:lang w:val="en-US" w:eastAsia="en-US" w:bidi="en-US"/>
    </w:rPr>
  </w:style>
  <w:style w:styleId="TableParagraph" w:type="paragraph">
    <w:name w:val="Table Paragraph"/>
    <w:basedOn w:val="Normal"/>
    <w:uiPriority w:val="1"/>
    <w:qFormat/>
    <w:pPr>
      <w:spacing w:before="75"/>
      <w:ind w:left="67"/>
    </w:pPr>
    <w:rPr>
      <w:rFonts w:ascii="Arial" w:hAnsi="Arial" w:eastAsia="Arial" w:cs="Arial"/>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hyperlink" Target="http://www.castrol.com/globalbusin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2026-04-14T16:32:05Z</dcterms:created>
  <dcterms:modified xsi:type="dcterms:W3CDTF">2026-04-14T16:32:05Z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2025-02-06T00:00:00Z</vt:filetime>
  </property>
  <property fmtid="{D5CDD505-2E9C-101B-9397-08002B2CF9AE}" pid="3" name="Creator">
    <vt:lpwstr>Primeapple DominoPDF</vt:lpwstr>
  </property>
  <property fmtid="{D5CDD505-2E9C-101B-9397-08002B2CF9AE}" pid="4" name="LastSaved">
    <vt:filetime>2026-04-14T00:00:00Z</vt:filetime>
  </property>
</Properties>
</file>